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8BFA10" w14:textId="7636664C" w:rsidR="00DE5524" w:rsidRPr="0020616F" w:rsidRDefault="00517DF2" w:rsidP="00DE5524">
      <w:pPr>
        <w:pStyle w:val="3GPPHeader"/>
        <w:spacing w:after="60"/>
      </w:pPr>
      <w:r>
        <w:t xml:space="preserve">3GPP TSG-RAN WG2 </w:t>
      </w:r>
      <w:r w:rsidRPr="00B8126A">
        <w:t>Meeting</w:t>
      </w:r>
      <w:r>
        <w:t xml:space="preserve"> #10</w:t>
      </w:r>
      <w:r w:rsidR="00543BAC">
        <w:t>7</w:t>
      </w:r>
      <w:r w:rsidR="00DC3845">
        <w:t>bis</w:t>
      </w:r>
      <w:r w:rsidR="00DE5524" w:rsidRPr="0020616F">
        <w:tab/>
      </w:r>
      <w:r w:rsidR="00EC0A72" w:rsidRPr="00EC0A72">
        <w:t>R2-1912891</w:t>
      </w:r>
    </w:p>
    <w:p w14:paraId="7658817B" w14:textId="5C128269" w:rsidR="004002BA" w:rsidRPr="004002BA" w:rsidRDefault="00DC3845" w:rsidP="004002BA">
      <w:pPr>
        <w:pStyle w:val="3GPPHeader"/>
        <w:rPr>
          <w:lang w:val="en-US"/>
        </w:rPr>
      </w:pPr>
      <w:r>
        <w:t>Chongqing, China, Oct. 14</w:t>
      </w:r>
      <w:r w:rsidRPr="00DC3845">
        <w:rPr>
          <w:vertAlign w:val="superscript"/>
        </w:rPr>
        <w:t>th</w:t>
      </w:r>
      <w:r>
        <w:t>-18</w:t>
      </w:r>
      <w:r w:rsidRPr="00DC3845">
        <w:rPr>
          <w:vertAlign w:val="superscript"/>
        </w:rPr>
        <w:t>th</w:t>
      </w:r>
      <w:r>
        <w:t>, 2019</w:t>
      </w:r>
      <w:r w:rsidR="004002BA">
        <w:rPr>
          <w:lang w:val="en-US"/>
        </w:rPr>
        <w:tab/>
      </w:r>
    </w:p>
    <w:p w14:paraId="2EF8E00A" w14:textId="1E827721" w:rsidR="00DE5524" w:rsidRPr="00702A88" w:rsidRDefault="00104A4D" w:rsidP="00DE5524">
      <w:pPr>
        <w:pStyle w:val="3GPPHeader"/>
        <w:jc w:val="right"/>
      </w:pPr>
      <w:r>
        <w:tab/>
      </w:r>
    </w:p>
    <w:p w14:paraId="1CB7A984" w14:textId="662770D7" w:rsidR="00DE5524" w:rsidRPr="00B81E93" w:rsidRDefault="00DE5524" w:rsidP="00DE5524">
      <w:pPr>
        <w:pStyle w:val="3GPPHeader"/>
        <w:rPr>
          <w:sz w:val="22"/>
          <w:szCs w:val="22"/>
          <w:lang w:val="en-US"/>
        </w:rPr>
      </w:pPr>
      <w:r w:rsidRPr="00B81E93">
        <w:rPr>
          <w:sz w:val="22"/>
          <w:szCs w:val="22"/>
          <w:lang w:val="en-US"/>
        </w:rPr>
        <w:t>Agenda Item:</w:t>
      </w:r>
      <w:r w:rsidRPr="00B81E93">
        <w:rPr>
          <w:sz w:val="22"/>
          <w:szCs w:val="22"/>
          <w:lang w:val="en-US"/>
        </w:rPr>
        <w:tab/>
      </w:r>
      <w:r w:rsidR="00B7721E">
        <w:rPr>
          <w:sz w:val="22"/>
          <w:szCs w:val="22"/>
          <w:lang w:val="en-US"/>
        </w:rPr>
        <w:t>6.2.2.4</w:t>
      </w:r>
    </w:p>
    <w:p w14:paraId="4CEEE42D" w14:textId="38ADFA75" w:rsidR="00DE5524" w:rsidRPr="00B81E93" w:rsidRDefault="00DE5524" w:rsidP="00DE5524">
      <w:pPr>
        <w:pStyle w:val="3GPPHeader"/>
        <w:rPr>
          <w:sz w:val="22"/>
          <w:szCs w:val="22"/>
          <w:lang w:val="en-US"/>
        </w:rPr>
      </w:pPr>
      <w:r w:rsidRPr="00B81E93">
        <w:rPr>
          <w:sz w:val="22"/>
          <w:szCs w:val="22"/>
          <w:lang w:val="en-US"/>
        </w:rPr>
        <w:t>Source:</w:t>
      </w:r>
      <w:r w:rsidRPr="00B81E93">
        <w:rPr>
          <w:sz w:val="22"/>
          <w:szCs w:val="22"/>
          <w:lang w:val="en-US"/>
        </w:rPr>
        <w:tab/>
        <w:t>InterDigital</w:t>
      </w:r>
    </w:p>
    <w:p w14:paraId="03B4672C" w14:textId="65DF8C19" w:rsidR="00DE5524" w:rsidRPr="004A1A95" w:rsidRDefault="00DE5524" w:rsidP="00DE5524">
      <w:pPr>
        <w:pStyle w:val="3GPPHeader"/>
        <w:jc w:val="left"/>
        <w:rPr>
          <w:color w:val="000000"/>
          <w:sz w:val="22"/>
          <w:szCs w:val="22"/>
        </w:rPr>
      </w:pPr>
      <w:r w:rsidRPr="004A1A95">
        <w:rPr>
          <w:sz w:val="22"/>
          <w:szCs w:val="22"/>
        </w:rPr>
        <w:t>Title:</w:t>
      </w:r>
      <w:r w:rsidRPr="004A1A95">
        <w:rPr>
          <w:sz w:val="22"/>
          <w:szCs w:val="22"/>
        </w:rPr>
        <w:tab/>
      </w:r>
      <w:r w:rsidR="00F82FC1">
        <w:rPr>
          <w:sz w:val="22"/>
          <w:szCs w:val="22"/>
        </w:rPr>
        <w:t xml:space="preserve">Impact of non-numeric K1 value on </w:t>
      </w:r>
      <w:r w:rsidR="00082AF7">
        <w:rPr>
          <w:sz w:val="22"/>
          <w:szCs w:val="22"/>
        </w:rPr>
        <w:t>DRX Timers</w:t>
      </w:r>
    </w:p>
    <w:p w14:paraId="3AE6A7C6" w14:textId="77777777" w:rsidR="00DE5524" w:rsidRPr="004A1A95" w:rsidRDefault="00DE5524" w:rsidP="00DE5524">
      <w:pPr>
        <w:pStyle w:val="3GPPHeader"/>
        <w:rPr>
          <w:sz w:val="22"/>
          <w:szCs w:val="22"/>
        </w:rPr>
      </w:pPr>
      <w:r w:rsidRPr="004A1A95">
        <w:rPr>
          <w:sz w:val="22"/>
          <w:szCs w:val="22"/>
        </w:rPr>
        <w:t>Document for:</w:t>
      </w:r>
      <w:r w:rsidRPr="004A1A95">
        <w:rPr>
          <w:sz w:val="22"/>
          <w:szCs w:val="22"/>
        </w:rPr>
        <w:tab/>
        <w:t>Discussion, Decision</w:t>
      </w:r>
    </w:p>
    <w:p w14:paraId="3DBF37E3" w14:textId="77777777" w:rsidR="00DE5524" w:rsidRPr="004A1A95" w:rsidRDefault="00DE5524" w:rsidP="00DE5524">
      <w:pPr>
        <w:pStyle w:val="Heading1"/>
      </w:pPr>
      <w:r w:rsidRPr="004A1A95">
        <w:t>Introduction</w:t>
      </w:r>
    </w:p>
    <w:p w14:paraId="2DE7177F" w14:textId="0835C0CF" w:rsidR="00BC6675" w:rsidRDefault="00781AEB" w:rsidP="00DE5524">
      <w:r>
        <w:t>In RAN1</w:t>
      </w:r>
      <w:r w:rsidR="00F112CC">
        <w:t xml:space="preserve"> it has been agreed that a non-numeric K1 value may be signalled to the U</w:t>
      </w:r>
      <w:r w:rsidR="00462F16">
        <w:t>E</w:t>
      </w:r>
      <w:r w:rsidR="00F112CC">
        <w:t xml:space="preserve"> as part of a DCI scheduling a PDSCH. When such a value of K1 is used, the UE determines the timing of the HARQ-Ack for that HARQ process </w:t>
      </w:r>
      <w:r w:rsidR="00082AF7">
        <w:t>upon reception of</w:t>
      </w:r>
      <w:r w:rsidR="00F112CC">
        <w:t xml:space="preserve"> a subsequent DCI scheduling a PDSCH indicating a numeric K1 value.</w:t>
      </w:r>
      <w:r w:rsidR="00462F16">
        <w:t xml:space="preserve"> The motivation for using non-numeric K1 value is that some HARQ-Ack feedback may need to be transmitted after the end of the COT within which the PDSCH was received by the UE. Therefore, the UE would need to perform CAT4 LBT prior to the transmission of the HARQ-Ack, and thus there is no certainty that feedback could be transmitted successfully. Non-numeric K1 value can enable the gNB to trigger one or more UEs to use a gNB acquired COT for transmission of HARQ-Ack feedback. </w:t>
      </w:r>
      <w:r w:rsidR="00082AF7">
        <w:t>Thus,</w:t>
      </w:r>
      <w:r w:rsidR="00462F16">
        <w:t xml:space="preserve"> increasing the likelihood of successfully acquiring the channel for transmission of the feedback.</w:t>
      </w:r>
      <w:r w:rsidR="00EF5B68">
        <w:t xml:space="preserve"> Furthermore, associated with the use of non-numeric K1 feedback is the concept of </w:t>
      </w:r>
      <w:r w:rsidR="00275924">
        <w:t xml:space="preserve">a DCI </w:t>
      </w:r>
      <w:r w:rsidR="00EF5B68">
        <w:t>triggering a UE to feedback data for a set of HARQ Processes. This can enable the gNB to have multiple opportunities to request HARQ-Ack feedback for a set of HARQ processes.</w:t>
      </w:r>
      <w:r w:rsidR="00462F16">
        <w:t xml:space="preserve"> </w:t>
      </w:r>
    </w:p>
    <w:p w14:paraId="46990604" w14:textId="519C6199" w:rsidR="00F112CC" w:rsidRDefault="00462F16" w:rsidP="00DE5524">
      <w:r>
        <w:t>To enable efficient monitoring of PDCCH</w:t>
      </w:r>
      <w:r w:rsidR="00F112CC">
        <w:t xml:space="preserve">, different DRX timers are specified. </w:t>
      </w:r>
      <w:r>
        <w:t>For Rel. 15 there is no ambiguous time between the reception of the DCI scheduling PDSCH and the UE’s knowledge of the HARQ-Ack resource timing. Furthermore, there is no need for a UE to monitor PDCCH for that HARQ Process until some time after it has transmitted HARQ-Ack. For Rel. 16 NR-U, this is no longer true, due to the availability of non-numeric K1.</w:t>
      </w:r>
      <w:bookmarkStart w:id="0" w:name="_GoBack"/>
      <w:bookmarkEnd w:id="0"/>
    </w:p>
    <w:p w14:paraId="77590B3D" w14:textId="50C87749" w:rsidR="00462F16" w:rsidRDefault="00462F16" w:rsidP="00DE5524">
      <w:r>
        <w:t>In this contribution we discuss the effect of non-numeric K1 on DRX and its associated timers.</w:t>
      </w:r>
    </w:p>
    <w:p w14:paraId="0A2B2A29" w14:textId="4050496A" w:rsidR="00DE5524" w:rsidRDefault="00EF5B68" w:rsidP="00DE5524">
      <w:pPr>
        <w:pStyle w:val="Heading1"/>
      </w:pPr>
      <w:r>
        <w:t>Discussion</w:t>
      </w:r>
    </w:p>
    <w:p w14:paraId="45994A97" w14:textId="4E491BF5" w:rsidR="00952894" w:rsidRDefault="00EF5B68" w:rsidP="00952894">
      <w:r>
        <w:t xml:space="preserve">An unlicensed channel can only be used for a maximum amount of time, </w:t>
      </w:r>
      <w:r w:rsidR="002369A0">
        <w:t xml:space="preserve">defined as the </w:t>
      </w:r>
      <w:r>
        <w:t xml:space="preserve">MCOT. </w:t>
      </w:r>
      <w:r w:rsidR="00082AF7">
        <w:t>Therefore,</w:t>
      </w:r>
      <w:r>
        <w:t xml:space="preserve"> it is beneficial for the gNB to make effective use of a COT immediately upon acquiring the channel. As such, a UE is expected to monitor for PDCCH very often at least until it determines that the gNB has acquired the COT. Hence, unnecessarily remaining in active time can be especially wasteful</w:t>
      </w:r>
      <w:r w:rsidR="00721370">
        <w:t xml:space="preserve"> when the channel is no longer occupied</w:t>
      </w:r>
      <w:r>
        <w:t>.</w:t>
      </w:r>
    </w:p>
    <w:p w14:paraId="0A39781D" w14:textId="71D449E9" w:rsidR="00EF5B68" w:rsidRDefault="00EF5B68" w:rsidP="00952894">
      <w:r>
        <w:t>In Rel. 15, multiple timers have been specified to achieve DRX. For DL operation, the following timers are most relevant to this discussion:</w:t>
      </w:r>
    </w:p>
    <w:p w14:paraId="78245FE2" w14:textId="77777777" w:rsidR="00AC7A21" w:rsidRDefault="00AC7A21" w:rsidP="00952894"/>
    <w:p w14:paraId="28B76051" w14:textId="6F285904" w:rsidR="00EF5B68" w:rsidRDefault="00EF5B68" w:rsidP="00952894">
      <w:r w:rsidRPr="00AC7A21">
        <w:rPr>
          <w:b/>
          <w:i/>
        </w:rPr>
        <w:t>drx-</w:t>
      </w:r>
      <w:proofErr w:type="gramStart"/>
      <w:r w:rsidRPr="00AC7A21">
        <w:rPr>
          <w:b/>
          <w:i/>
        </w:rPr>
        <w:t>InactivityTimer</w:t>
      </w:r>
      <w:r w:rsidR="00AC7A21">
        <w:rPr>
          <w:b/>
          <w:i/>
        </w:rPr>
        <w:t xml:space="preserve"> </w:t>
      </w:r>
      <w:r>
        <w:t>:</w:t>
      </w:r>
      <w:proofErr w:type="gramEnd"/>
      <w:r>
        <w:t xml:space="preserve"> </w:t>
      </w:r>
      <w:r w:rsidR="002369A0">
        <w:t xml:space="preserve">starts </w:t>
      </w:r>
      <w:r>
        <w:t>after receiving a PDCCH indicating a new DL transmission</w:t>
      </w:r>
      <w:r w:rsidR="00442BFA">
        <w:t>.</w:t>
      </w:r>
    </w:p>
    <w:p w14:paraId="6AF93132" w14:textId="671923DA" w:rsidR="00442BFA" w:rsidRPr="00442BFA" w:rsidRDefault="00442BFA" w:rsidP="00952894">
      <w:pPr>
        <w:rPr>
          <w:lang w:val="en-US"/>
        </w:rPr>
      </w:pPr>
      <w:r w:rsidRPr="00AC7A21">
        <w:rPr>
          <w:b/>
          <w:i/>
          <w:lang w:val="en-US"/>
        </w:rPr>
        <w:t>drx-HARQ-RTT-</w:t>
      </w:r>
      <w:proofErr w:type="spellStart"/>
      <w:proofErr w:type="gramStart"/>
      <w:r w:rsidRPr="00AC7A21">
        <w:rPr>
          <w:b/>
          <w:i/>
          <w:lang w:val="en-US"/>
        </w:rPr>
        <w:t>TimerDL</w:t>
      </w:r>
      <w:proofErr w:type="spellEnd"/>
      <w:r w:rsidR="00AC7A21">
        <w:rPr>
          <w:b/>
          <w:i/>
          <w:lang w:val="en-US"/>
        </w:rPr>
        <w:t xml:space="preserve"> </w:t>
      </w:r>
      <w:r w:rsidRPr="00442BFA">
        <w:rPr>
          <w:lang w:val="en-US"/>
        </w:rPr>
        <w:t>:</w:t>
      </w:r>
      <w:proofErr w:type="gramEnd"/>
      <w:r w:rsidRPr="00442BFA">
        <w:rPr>
          <w:lang w:val="en-US"/>
        </w:rPr>
        <w:t xml:space="preserve"> </w:t>
      </w:r>
      <w:r w:rsidR="002369A0" w:rsidRPr="00442BFA">
        <w:rPr>
          <w:lang w:val="en-US"/>
        </w:rPr>
        <w:t>s</w:t>
      </w:r>
      <w:r w:rsidR="002369A0">
        <w:rPr>
          <w:lang w:val="en-US"/>
        </w:rPr>
        <w:t xml:space="preserve">tarts </w:t>
      </w:r>
      <w:r>
        <w:rPr>
          <w:lang w:val="en-US"/>
        </w:rPr>
        <w:t>after transmission of HARQ-Ack for a DL HARQ process.</w:t>
      </w:r>
    </w:p>
    <w:p w14:paraId="55FFB24E" w14:textId="4A814686" w:rsidR="00442BFA" w:rsidRDefault="00442BFA" w:rsidP="00952894">
      <w:pPr>
        <w:rPr>
          <w:lang w:val="en-US"/>
        </w:rPr>
      </w:pPr>
      <w:r w:rsidRPr="00AC7A21">
        <w:rPr>
          <w:b/>
          <w:i/>
          <w:lang w:val="en-US"/>
        </w:rPr>
        <w:t>drx-</w:t>
      </w:r>
      <w:proofErr w:type="gramStart"/>
      <w:r w:rsidRPr="00AC7A21">
        <w:rPr>
          <w:b/>
          <w:i/>
          <w:lang w:val="en-US"/>
        </w:rPr>
        <w:t>RetransmissionTimer</w:t>
      </w:r>
      <w:r w:rsidR="00AC7A21">
        <w:rPr>
          <w:b/>
          <w:i/>
          <w:lang w:val="en-US"/>
        </w:rPr>
        <w:t xml:space="preserve"> </w:t>
      </w:r>
      <w:r w:rsidRPr="00442BFA">
        <w:rPr>
          <w:lang w:val="en-US"/>
        </w:rPr>
        <w:t>:</w:t>
      </w:r>
      <w:proofErr w:type="gramEnd"/>
      <w:r w:rsidRPr="00442BFA">
        <w:rPr>
          <w:lang w:val="en-US"/>
        </w:rPr>
        <w:t xml:space="preserve"> </w:t>
      </w:r>
      <w:r w:rsidR="002369A0" w:rsidRPr="00442BFA">
        <w:rPr>
          <w:lang w:val="en-US"/>
        </w:rPr>
        <w:t>start</w:t>
      </w:r>
      <w:r w:rsidR="002369A0">
        <w:rPr>
          <w:lang w:val="en-US"/>
        </w:rPr>
        <w:t>s</w:t>
      </w:r>
      <w:r w:rsidR="002369A0" w:rsidRPr="00442BFA">
        <w:rPr>
          <w:lang w:val="en-US"/>
        </w:rPr>
        <w:t xml:space="preserve"> </w:t>
      </w:r>
      <w:r w:rsidRPr="00442BFA">
        <w:rPr>
          <w:lang w:val="en-US"/>
        </w:rPr>
        <w:t xml:space="preserve">upon </w:t>
      </w:r>
      <w:r w:rsidRPr="00442BFA">
        <w:rPr>
          <w:i/>
          <w:lang w:val="en-US"/>
        </w:rPr>
        <w:t>drx-HARQ-RTT-</w:t>
      </w:r>
      <w:proofErr w:type="spellStart"/>
      <w:r w:rsidRPr="00442BFA">
        <w:rPr>
          <w:i/>
          <w:lang w:val="en-US"/>
        </w:rPr>
        <w:t>TimerDL</w:t>
      </w:r>
      <w:proofErr w:type="spellEnd"/>
      <w:r>
        <w:rPr>
          <w:lang w:val="en-US"/>
        </w:rPr>
        <w:t xml:space="preserve"> expiring if the corresponding HARQ process data was not successfully decoded.</w:t>
      </w:r>
    </w:p>
    <w:p w14:paraId="1947C81A" w14:textId="77777777" w:rsidR="00AC7A21" w:rsidRPr="00442BFA" w:rsidRDefault="00AC7A21" w:rsidP="00952894">
      <w:pPr>
        <w:rPr>
          <w:lang w:val="en-US"/>
        </w:rPr>
      </w:pPr>
    </w:p>
    <w:p w14:paraId="0B2689E9" w14:textId="36E234E0" w:rsidR="00EF5B68" w:rsidRDefault="00442BFA" w:rsidP="00952894">
      <w:pPr>
        <w:rPr>
          <w:lang w:val="en-US"/>
        </w:rPr>
      </w:pPr>
      <w:r>
        <w:rPr>
          <w:lang w:val="en-US"/>
        </w:rPr>
        <w:t xml:space="preserve">The UE should monitor PDCCH at least when either of </w:t>
      </w:r>
      <w:r w:rsidRPr="00442BFA">
        <w:rPr>
          <w:i/>
        </w:rPr>
        <w:t>drx-InactivityTimer</w:t>
      </w:r>
      <w:r>
        <w:t xml:space="preserve"> or </w:t>
      </w:r>
      <w:r w:rsidRPr="00442BFA">
        <w:rPr>
          <w:i/>
          <w:lang w:val="en-US"/>
        </w:rPr>
        <w:t>drx-RetransmissionTimer</w:t>
      </w:r>
      <w:r>
        <w:rPr>
          <w:lang w:val="en-US"/>
        </w:rPr>
        <w:t xml:space="preserve"> are running. The purpose of </w:t>
      </w:r>
      <w:r w:rsidRPr="00442BFA">
        <w:rPr>
          <w:i/>
          <w:lang w:val="en-US"/>
        </w:rPr>
        <w:t>drx-HARQ-RTT-TimerDL</w:t>
      </w:r>
      <w:r>
        <w:rPr>
          <w:lang w:val="en-US"/>
        </w:rPr>
        <w:t xml:space="preserve"> is to enable the UE to micro-sleep for a HARQ process if it has transmitted HARQ feedback and is configured to not expect any transmission for that HARQ process for a configurable amount of time.</w:t>
      </w:r>
    </w:p>
    <w:p w14:paraId="1F133391" w14:textId="279154DE" w:rsidR="00442BFA" w:rsidRDefault="00442BFA" w:rsidP="00952894">
      <w:pPr>
        <w:rPr>
          <w:lang w:val="en-US"/>
        </w:rPr>
      </w:pPr>
      <w:r>
        <w:rPr>
          <w:lang w:val="en-US"/>
        </w:rPr>
        <w:lastRenderedPageBreak/>
        <w:t>For Rel. 15, upon receiving a DCI scheduling PDSCH, the UE is aware of the timing of the HARQ-Ack resource</w:t>
      </w:r>
      <w:r w:rsidR="00AD0A51">
        <w:rPr>
          <w:lang w:val="en-US"/>
        </w:rPr>
        <w:t xml:space="preserve"> (K1), which is signaled in the DCI</w:t>
      </w:r>
      <w:r>
        <w:rPr>
          <w:lang w:val="en-US"/>
        </w:rPr>
        <w:t xml:space="preserve">. As such, the UE need not monitor PDCCH for that HARQ process until some time after transmitting the HARQ-Ack feedback (determined as </w:t>
      </w:r>
      <w:r w:rsidR="00AD0A51">
        <w:rPr>
          <w:lang w:val="en-US"/>
        </w:rPr>
        <w:t xml:space="preserve">“K1”, </w:t>
      </w:r>
      <w:r>
        <w:rPr>
          <w:lang w:val="en-US"/>
        </w:rPr>
        <w:t>the time between the DCI scheduling the PDSCH and the time of HARQ-Ack transmission, plus the</w:t>
      </w:r>
      <w:r w:rsidR="00AC7A21">
        <w:rPr>
          <w:lang w:val="en-US"/>
        </w:rPr>
        <w:t xml:space="preserve"> duration of</w:t>
      </w:r>
      <w:r>
        <w:rPr>
          <w:lang w:val="en-US"/>
        </w:rPr>
        <w:t xml:space="preserve"> </w:t>
      </w:r>
      <w:r w:rsidRPr="00442BFA">
        <w:rPr>
          <w:i/>
          <w:lang w:val="en-US"/>
        </w:rPr>
        <w:t>drx-HARQ-RTT-TimerDL</w:t>
      </w:r>
      <w:r>
        <w:rPr>
          <w:lang w:val="en-US"/>
        </w:rPr>
        <w:t>). However, in Rel. 16, an issue arises if the UE is scheduled with a non-numeric K1 value. In such a case, the UE needs to keep monitoring the PDCCH at least for that HARQ process until it receives the trigger for the HARQ-Ack feedback.</w:t>
      </w:r>
    </w:p>
    <w:p w14:paraId="7F6E8225" w14:textId="5369564F" w:rsidR="00AC7A21" w:rsidRPr="005241C3" w:rsidRDefault="00442BFA" w:rsidP="00AC7A21">
      <w:r>
        <w:rPr>
          <w:lang w:val="en-US"/>
        </w:rPr>
        <w:t xml:space="preserve">If the </w:t>
      </w:r>
      <w:r w:rsidRPr="00442BFA">
        <w:rPr>
          <w:i/>
        </w:rPr>
        <w:t>drx-InactivityTimer</w:t>
      </w:r>
      <w:r>
        <w:t xml:space="preserve"> is still running, then there is no issue as the UE remains in active time regardless of the HARQ-Ack feedback timing. However, if the </w:t>
      </w:r>
      <w:r w:rsidRPr="00442BFA">
        <w:rPr>
          <w:i/>
        </w:rPr>
        <w:t>drx-InactivityTimer</w:t>
      </w:r>
      <w:r>
        <w:t xml:space="preserve"> has expired at some point before the completion of the HARQ processes, then </w:t>
      </w:r>
      <w:r w:rsidR="00AC7A21">
        <w:t>means are required to enable the use of non-numeric K1.</w:t>
      </w:r>
      <w:r w:rsidR="00AD0A51">
        <w:t xml:space="preserve"> Otherwise, the gNB is forced to schedule the subsequent DCI/PDSCH indicating a numeric K1 value at the next On Duration.</w:t>
      </w:r>
    </w:p>
    <w:p w14:paraId="2D4B158B" w14:textId="0B2108FE" w:rsidR="00AC7A21" w:rsidRDefault="00AC7A21" w:rsidP="005241C3">
      <w:pPr>
        <w:ind w:left="1440" w:hanging="1440"/>
      </w:pPr>
      <w:r>
        <w:rPr>
          <w:b/>
          <w:bCs/>
          <w:u w:val="single"/>
        </w:rPr>
        <w:t>Observation</w:t>
      </w:r>
      <w:r w:rsidRPr="00952894">
        <w:rPr>
          <w:b/>
          <w:bCs/>
          <w:u w:val="single"/>
        </w:rPr>
        <w:t xml:space="preserve"> </w:t>
      </w:r>
      <w:r w:rsidR="00721370">
        <w:rPr>
          <w:b/>
          <w:bCs/>
          <w:u w:val="single"/>
        </w:rPr>
        <w:t>1</w:t>
      </w:r>
      <w:r w:rsidRPr="00952894">
        <w:rPr>
          <w:b/>
          <w:bCs/>
        </w:rPr>
        <w:t xml:space="preserve">:  </w:t>
      </w:r>
      <w:r>
        <w:t>When indicated non-numeric K1, the UE can only determine the timing of the HARQ-Ack resource if it is in active time.</w:t>
      </w:r>
    </w:p>
    <w:p w14:paraId="4DEC0487" w14:textId="0B1F8621" w:rsidR="00D13269" w:rsidRDefault="00AC7A21" w:rsidP="00952894">
      <w:r>
        <w:t xml:space="preserve">Based on the above observation, we see that when </w:t>
      </w:r>
      <w:r w:rsidRPr="00442BFA">
        <w:rPr>
          <w:i/>
        </w:rPr>
        <w:t>drx-InactivityTimer</w:t>
      </w:r>
      <w:r>
        <w:t xml:space="preserve"> has expired, there is ambiguity when non-numeric K1 is used </w:t>
      </w:r>
      <w:r w:rsidR="00992574">
        <w:t>for a retransmission.</w:t>
      </w:r>
      <w:r w:rsidR="005241C3">
        <w:t xml:space="preserve"> </w:t>
      </w:r>
      <w:r>
        <w:t>The following can be used to mitigate this problem.</w:t>
      </w:r>
    </w:p>
    <w:p w14:paraId="2A7306B1" w14:textId="77777777" w:rsidR="00AC7A21" w:rsidRDefault="00AC7A21" w:rsidP="00952894"/>
    <w:p w14:paraId="6D17A884" w14:textId="5FCF300B" w:rsidR="00AC7A21" w:rsidRPr="00550B4E" w:rsidRDefault="00AC7A21" w:rsidP="00952894">
      <w:pPr>
        <w:rPr>
          <w:b/>
          <w:lang w:val="en-US"/>
        </w:rPr>
      </w:pPr>
      <w:r w:rsidRPr="00550B4E">
        <w:rPr>
          <w:b/>
          <w:lang w:val="en-US"/>
        </w:rPr>
        <w:t xml:space="preserve">1) Extending </w:t>
      </w:r>
      <w:r w:rsidRPr="00550B4E">
        <w:rPr>
          <w:b/>
          <w:i/>
          <w:lang w:val="en-US"/>
        </w:rPr>
        <w:t>drx-InactivityTimer</w:t>
      </w:r>
    </w:p>
    <w:p w14:paraId="0FEF063E" w14:textId="6A316473" w:rsidR="00AC7A21" w:rsidRDefault="00AC7A21" w:rsidP="00952894">
      <w:r w:rsidRPr="00AC7A21">
        <w:rPr>
          <w:lang w:val="en-US"/>
        </w:rPr>
        <w:t xml:space="preserve">A larger value of </w:t>
      </w:r>
      <w:r w:rsidRPr="00442BFA">
        <w:rPr>
          <w:i/>
        </w:rPr>
        <w:t>drx-InactivityTimer</w:t>
      </w:r>
      <w:r>
        <w:t xml:space="preserve"> can be used. Such a value can ensure that all retransmissions for a HARQ process are always covered by the </w:t>
      </w:r>
      <w:r w:rsidRPr="00442BFA">
        <w:rPr>
          <w:i/>
        </w:rPr>
        <w:t>drx-InactivityTimer</w:t>
      </w:r>
      <w:r>
        <w:t>. However, in NR-U the timing of retransmissions is less deterministic and is dependent on the ability to acquire the channel for each PDSCH (re)transmission and HARQ-A</w:t>
      </w:r>
      <w:r w:rsidR="00275924">
        <w:t>ck</w:t>
      </w:r>
      <w:r>
        <w:t xml:space="preserve"> feedback. Therefore, </w:t>
      </w:r>
      <w:r w:rsidR="003851EE">
        <w:t xml:space="preserve">the </w:t>
      </w:r>
      <w:r w:rsidR="003851EE" w:rsidRPr="00442BFA">
        <w:rPr>
          <w:i/>
        </w:rPr>
        <w:t>drx-InactivityTimer</w:t>
      </w:r>
      <w:r w:rsidR="003851EE">
        <w:t xml:space="preserve"> </w:t>
      </w:r>
      <w:r w:rsidR="00275924">
        <w:t xml:space="preserve">duration </w:t>
      </w:r>
      <w:r w:rsidR="003851EE">
        <w:t xml:space="preserve">would have to be </w:t>
      </w:r>
      <w:r w:rsidR="00275924">
        <w:t>so</w:t>
      </w:r>
      <w:r w:rsidR="003851EE">
        <w:t xml:space="preserve"> long to accommodate the maximum number of retransmissions and the possible delays due to channel acquisition, that the power savings gains achievable from using DRX would be compromised.</w:t>
      </w:r>
    </w:p>
    <w:p w14:paraId="41E9CA5C" w14:textId="7D0B381A" w:rsidR="00550B4E" w:rsidRPr="00550B4E" w:rsidRDefault="00550B4E" w:rsidP="00550B4E">
      <w:pPr>
        <w:rPr>
          <w:b/>
          <w:lang w:val="en-US"/>
        </w:rPr>
      </w:pPr>
      <w:r w:rsidRPr="00550B4E">
        <w:rPr>
          <w:b/>
          <w:lang w:val="en-US"/>
        </w:rPr>
        <w:t>2) Introduce a new timer between the PDSCH scheduling DCI and the HARQ-ACK feedback scheduling DCI [3]</w:t>
      </w:r>
    </w:p>
    <w:p w14:paraId="41050376" w14:textId="6ABF6A76" w:rsidR="00550B4E" w:rsidRDefault="00550B4E" w:rsidP="00550B4E">
      <w:pPr>
        <w:rPr>
          <w:lang w:val="en-US"/>
        </w:rPr>
      </w:pPr>
      <w:r>
        <w:rPr>
          <w:lang w:val="en-US"/>
        </w:rPr>
        <w:t>This method introduces an indefinite timer during which a UE assumes active time</w:t>
      </w:r>
      <w:r w:rsidR="006C3602">
        <w:rPr>
          <w:lang w:val="en-US"/>
        </w:rPr>
        <w:t xml:space="preserve"> until a subsequent DCI with a numeric K1 is scheduled. Such timer does not operate like a typical timer in </w:t>
      </w:r>
      <w:proofErr w:type="gramStart"/>
      <w:r w:rsidR="006C3602">
        <w:rPr>
          <w:lang w:val="en-US"/>
        </w:rPr>
        <w:t>MAC, and</w:t>
      </w:r>
      <w:proofErr w:type="gramEnd"/>
      <w:r w:rsidR="006C3602">
        <w:rPr>
          <w:lang w:val="en-US"/>
        </w:rPr>
        <w:t xml:space="preserve"> can rather be viewed as temporarily suspending DRX for HARQ processes for which a non-numeric K1 value has been indicated</w:t>
      </w:r>
      <w:r>
        <w:rPr>
          <w:lang w:val="en-US"/>
        </w:rPr>
        <w:t>. One issue with this method is if the UE misses the DCI scheduling HARQ-ACK feedback, the UE might indefinitely monitor PDCCH given that the timer has no specific duration.</w:t>
      </w:r>
    </w:p>
    <w:p w14:paraId="11285719" w14:textId="1C525CF9" w:rsidR="003851EE" w:rsidRPr="00550B4E" w:rsidRDefault="00550B4E" w:rsidP="00952894">
      <w:pPr>
        <w:rPr>
          <w:b/>
        </w:rPr>
      </w:pPr>
      <w:r w:rsidRPr="00550B4E">
        <w:rPr>
          <w:b/>
          <w:lang w:val="en-US"/>
        </w:rPr>
        <w:t>3</w:t>
      </w:r>
      <w:r w:rsidR="003851EE" w:rsidRPr="00550B4E">
        <w:rPr>
          <w:b/>
          <w:lang w:val="en-US"/>
        </w:rPr>
        <w:t xml:space="preserve">) Start the </w:t>
      </w:r>
      <w:r w:rsidR="003851EE" w:rsidRPr="00550B4E">
        <w:rPr>
          <w:b/>
          <w:i/>
        </w:rPr>
        <w:t>drx-InactivityTimer</w:t>
      </w:r>
      <w:r w:rsidR="003851EE" w:rsidRPr="00550B4E">
        <w:rPr>
          <w:b/>
        </w:rPr>
        <w:t xml:space="preserve"> after every DCI scheduling PDSCH with non-numeric K1</w:t>
      </w:r>
      <w:r w:rsidR="006C3602">
        <w:rPr>
          <w:b/>
        </w:rPr>
        <w:t xml:space="preserve"> [3]</w:t>
      </w:r>
      <w:r w:rsidR="00CB6EC5">
        <w:rPr>
          <w:b/>
        </w:rPr>
        <w:t xml:space="preserve">, including </w:t>
      </w:r>
      <w:r w:rsidR="006C3602">
        <w:rPr>
          <w:b/>
        </w:rPr>
        <w:t xml:space="preserve">PDSCH </w:t>
      </w:r>
      <w:r w:rsidR="00CB6EC5">
        <w:rPr>
          <w:b/>
        </w:rPr>
        <w:t>retransmissions</w:t>
      </w:r>
      <w:r w:rsidR="006C3602">
        <w:rPr>
          <w:b/>
        </w:rPr>
        <w:t>.</w:t>
      </w:r>
    </w:p>
    <w:p w14:paraId="094F6844" w14:textId="43F0DB8F" w:rsidR="003851EE" w:rsidRDefault="003851EE" w:rsidP="00952894">
      <w:r>
        <w:rPr>
          <w:lang w:val="en-US"/>
        </w:rPr>
        <w:t xml:space="preserve">This ensures that the UE is always active for a set period of time after any transmission with non-numeric K1. This option is less onerous </w:t>
      </w:r>
      <w:r w:rsidR="00D41C5B">
        <w:rPr>
          <w:lang w:val="en-US"/>
        </w:rPr>
        <w:t xml:space="preserve">than </w:t>
      </w:r>
      <w:r>
        <w:rPr>
          <w:lang w:val="en-US"/>
        </w:rPr>
        <w:t xml:space="preserve">(1), however in some highly loaded channels, the </w:t>
      </w:r>
      <w:r w:rsidRPr="00442BFA">
        <w:rPr>
          <w:i/>
        </w:rPr>
        <w:t>drx-InactivityTimer</w:t>
      </w:r>
      <w:r>
        <w:t xml:space="preserve"> may still expire prior to a UE receiving a DCI with a deterministic HARQ-ACK feedback resource.</w:t>
      </w:r>
    </w:p>
    <w:p w14:paraId="104E8A99" w14:textId="0EED9855" w:rsidR="009C2B67" w:rsidRPr="00550B4E" w:rsidRDefault="009C2B67" w:rsidP="00952894">
      <w:pPr>
        <w:rPr>
          <w:b/>
          <w:lang w:val="en-US"/>
        </w:rPr>
      </w:pPr>
      <w:r w:rsidRPr="00550B4E">
        <w:rPr>
          <w:b/>
          <w:lang w:val="en-US"/>
        </w:rPr>
        <w:t xml:space="preserve">4)  </w:t>
      </w:r>
      <w:r w:rsidR="003B6703">
        <w:rPr>
          <w:b/>
          <w:lang w:val="en-US"/>
        </w:rPr>
        <w:t xml:space="preserve">Suspend </w:t>
      </w:r>
      <w:r w:rsidR="00721370">
        <w:rPr>
          <w:b/>
          <w:lang w:val="en-US"/>
        </w:rPr>
        <w:t xml:space="preserve">inactivity </w:t>
      </w:r>
      <w:r w:rsidRPr="00550B4E">
        <w:rPr>
          <w:b/>
          <w:lang w:val="en-US"/>
        </w:rPr>
        <w:t xml:space="preserve">timer </w:t>
      </w:r>
      <w:r w:rsidR="00721370">
        <w:rPr>
          <w:b/>
          <w:lang w:val="en-US"/>
        </w:rPr>
        <w:t xml:space="preserve">value </w:t>
      </w:r>
      <w:r w:rsidRPr="00550B4E">
        <w:rPr>
          <w:b/>
          <w:lang w:val="en-US"/>
        </w:rPr>
        <w:t xml:space="preserve">when </w:t>
      </w:r>
      <w:r w:rsidR="00550B4E" w:rsidRPr="00550B4E">
        <w:rPr>
          <w:b/>
          <w:lang w:val="en-US"/>
        </w:rPr>
        <w:t>there is no ongoing COT</w:t>
      </w:r>
      <w:r w:rsidR="003B6703">
        <w:rPr>
          <w:b/>
          <w:lang w:val="en-US"/>
        </w:rPr>
        <w:t>, while remaining in active time.</w:t>
      </w:r>
    </w:p>
    <w:p w14:paraId="573B811D" w14:textId="1BD564A2" w:rsidR="00CB6EC5" w:rsidRPr="00275924" w:rsidRDefault="00550B4E" w:rsidP="00952894">
      <w:pPr>
        <w:rPr>
          <w:lang w:val="en-US"/>
        </w:rPr>
      </w:pPr>
      <w:r>
        <w:rPr>
          <w:lang w:val="en-US"/>
        </w:rPr>
        <w:t xml:space="preserve">In such a case, the UE does not expect to receive any DCI scheduling either PDSCH or HARQ-Ack resources when the gNB has not acquired a COT. Therefore, </w:t>
      </w:r>
      <w:r w:rsidR="00721370">
        <w:rPr>
          <w:lang w:val="en-US"/>
        </w:rPr>
        <w:t>maintaining the same inactivity timer value</w:t>
      </w:r>
      <w:r>
        <w:rPr>
          <w:lang w:val="en-US"/>
        </w:rPr>
        <w:t xml:space="preserve"> when there is no </w:t>
      </w:r>
      <w:r w:rsidR="00082AF7">
        <w:rPr>
          <w:lang w:val="en-US"/>
        </w:rPr>
        <w:t>ongoing</w:t>
      </w:r>
      <w:r>
        <w:rPr>
          <w:lang w:val="en-US"/>
        </w:rPr>
        <w:t xml:space="preserve"> COT ensures that timers only countdown in appropriate times.</w:t>
      </w:r>
      <w:r w:rsidR="00721370">
        <w:rPr>
          <w:lang w:val="en-US"/>
        </w:rPr>
        <w:t xml:space="preserve"> </w:t>
      </w:r>
      <w:r w:rsidR="00275924">
        <w:rPr>
          <w:lang w:val="en-US"/>
        </w:rPr>
        <w:t xml:space="preserve"> </w:t>
      </w:r>
      <w:r w:rsidR="000679E2">
        <w:rPr>
          <w:lang w:val="en-US"/>
        </w:rPr>
        <w:t xml:space="preserve">This </w:t>
      </w:r>
      <w:r w:rsidR="0085608D">
        <w:rPr>
          <w:lang w:val="en-US"/>
        </w:rPr>
        <w:t xml:space="preserve">option alone </w:t>
      </w:r>
      <w:r w:rsidR="00275924">
        <w:rPr>
          <w:lang w:val="en-US"/>
        </w:rPr>
        <w:t>doesn’t help for cases when non-numeric K1 is used for a retransmissio</w:t>
      </w:r>
      <w:r w:rsidR="00721370">
        <w:rPr>
          <w:lang w:val="en-US"/>
        </w:rPr>
        <w:t>n, though it can be considered with (3).</w:t>
      </w:r>
      <w:r w:rsidR="003B6703">
        <w:rPr>
          <w:lang w:val="en-US"/>
        </w:rPr>
        <w:t xml:space="preserve"> UE can also miss a COT acquisition signal, which can be problematic for resuming the timer.</w:t>
      </w:r>
    </w:p>
    <w:p w14:paraId="340E3DEF" w14:textId="77777777" w:rsidR="00550B4E" w:rsidRPr="00AC7A21" w:rsidRDefault="00550B4E" w:rsidP="00952894">
      <w:pPr>
        <w:rPr>
          <w:lang w:val="en-US"/>
        </w:rPr>
      </w:pPr>
    </w:p>
    <w:p w14:paraId="5B2F3FBF" w14:textId="2333A486" w:rsidR="005B0B69" w:rsidRDefault="00952894" w:rsidP="00721370">
      <w:pPr>
        <w:ind w:left="1440" w:hanging="1440"/>
      </w:pPr>
      <w:r w:rsidRPr="00952894">
        <w:rPr>
          <w:b/>
          <w:bCs/>
          <w:u w:val="single"/>
        </w:rPr>
        <w:t xml:space="preserve">Proposal </w:t>
      </w:r>
      <w:r>
        <w:rPr>
          <w:b/>
          <w:bCs/>
          <w:u w:val="single"/>
        </w:rPr>
        <w:t>1</w:t>
      </w:r>
      <w:r w:rsidRPr="00952894">
        <w:rPr>
          <w:b/>
          <w:bCs/>
        </w:rPr>
        <w:t xml:space="preserve">:  </w:t>
      </w:r>
      <w:r w:rsidRPr="00952894">
        <w:rPr>
          <w:b/>
          <w:bCs/>
        </w:rPr>
        <w:tab/>
      </w:r>
      <w:r w:rsidR="00550B4E">
        <w:t>The</w:t>
      </w:r>
      <w:r w:rsidR="00082AF7">
        <w:t xml:space="preserve"> </w:t>
      </w:r>
      <w:r w:rsidR="00082AF7" w:rsidRPr="00442BFA">
        <w:rPr>
          <w:i/>
        </w:rPr>
        <w:t>drx-InactivityTimer</w:t>
      </w:r>
      <w:r w:rsidR="00082AF7">
        <w:t xml:space="preserve"> is restarted whenever a PDSCH is scheduled with non-numeric K1 value</w:t>
      </w:r>
      <w:r w:rsidR="00721370">
        <w:t xml:space="preserve"> for a new transmission or a retransmission</w:t>
      </w:r>
      <w:r>
        <w:t>.</w:t>
      </w:r>
    </w:p>
    <w:p w14:paraId="1D0DAE9E" w14:textId="77777777" w:rsidR="00804356" w:rsidRPr="004A1A95" w:rsidRDefault="00804356" w:rsidP="00804356">
      <w:pPr>
        <w:pStyle w:val="Heading1"/>
      </w:pPr>
      <w:r w:rsidRPr="004A1A95">
        <w:t>Conclusion</w:t>
      </w:r>
    </w:p>
    <w:p w14:paraId="582ED96F" w14:textId="3DC01372" w:rsidR="00AD408A" w:rsidRDefault="00804356" w:rsidP="00D13269">
      <w:pPr>
        <w:tabs>
          <w:tab w:val="left" w:pos="0"/>
        </w:tabs>
      </w:pPr>
      <w:r>
        <w:t xml:space="preserve">In this contribution the following </w:t>
      </w:r>
      <w:bookmarkStart w:id="1" w:name="_Hlk1067966"/>
      <w:r w:rsidR="00082AF7">
        <w:t>proposal are made on DRX timer behaviour in NR-U:</w:t>
      </w:r>
    </w:p>
    <w:p w14:paraId="64D0A1AB" w14:textId="4DE6AC0C" w:rsidR="00082AF7" w:rsidRDefault="003B6703" w:rsidP="003B6703">
      <w:pPr>
        <w:ind w:left="1440" w:hanging="1440"/>
      </w:pPr>
      <w:r w:rsidRPr="00952894">
        <w:rPr>
          <w:b/>
          <w:bCs/>
          <w:u w:val="single"/>
        </w:rPr>
        <w:t xml:space="preserve">Proposal </w:t>
      </w:r>
      <w:r>
        <w:rPr>
          <w:b/>
          <w:bCs/>
          <w:u w:val="single"/>
        </w:rPr>
        <w:t>1</w:t>
      </w:r>
      <w:r w:rsidRPr="00952894">
        <w:rPr>
          <w:b/>
          <w:bCs/>
        </w:rPr>
        <w:t xml:space="preserve">:  </w:t>
      </w:r>
      <w:r w:rsidRPr="00952894">
        <w:rPr>
          <w:b/>
          <w:bCs/>
        </w:rPr>
        <w:tab/>
      </w:r>
      <w:r>
        <w:t xml:space="preserve">The </w:t>
      </w:r>
      <w:r w:rsidRPr="00442BFA">
        <w:rPr>
          <w:i/>
        </w:rPr>
        <w:t>drx-InactivityTimer</w:t>
      </w:r>
      <w:r>
        <w:t xml:space="preserve"> is restarted whenever a PDSCH is scheduled with non-numeric K1 value for a new transmission or a retransmission.</w:t>
      </w:r>
    </w:p>
    <w:bookmarkEnd w:id="1"/>
    <w:p w14:paraId="04D3C849" w14:textId="78D0FD18" w:rsidR="00804356" w:rsidRPr="004A1A95" w:rsidRDefault="00804356" w:rsidP="00804356">
      <w:pPr>
        <w:pStyle w:val="Heading1"/>
      </w:pPr>
      <w:r w:rsidRPr="004A1A95">
        <w:lastRenderedPageBreak/>
        <w:t>References</w:t>
      </w:r>
    </w:p>
    <w:p w14:paraId="4BB749AC" w14:textId="75DA4187" w:rsidR="00804356" w:rsidRDefault="00602132" w:rsidP="00804356">
      <w:pPr>
        <w:pStyle w:val="Reference"/>
        <w:spacing w:after="60"/>
        <w:rPr>
          <w:sz w:val="18"/>
          <w:szCs w:val="18"/>
        </w:rPr>
      </w:pPr>
      <w:bookmarkStart w:id="2" w:name="_Ref477789992"/>
      <w:bookmarkStart w:id="3" w:name="_Ref481513005"/>
      <w:bookmarkStart w:id="4" w:name="_Ref484449735"/>
      <w:bookmarkStart w:id="5" w:name="_Ref510528593"/>
      <w:bookmarkStart w:id="6" w:name="_Ref490232774"/>
      <w:r>
        <w:rPr>
          <w:sz w:val="18"/>
          <w:szCs w:val="18"/>
        </w:rPr>
        <w:t>TR 38.889</w:t>
      </w:r>
      <w:r w:rsidR="00804356">
        <w:rPr>
          <w:sz w:val="18"/>
          <w:szCs w:val="18"/>
        </w:rPr>
        <w:t>, “</w:t>
      </w:r>
      <w:bookmarkEnd w:id="2"/>
      <w:bookmarkEnd w:id="3"/>
      <w:bookmarkEnd w:id="4"/>
      <w:r w:rsidR="00804356">
        <w:rPr>
          <w:sz w:val="18"/>
          <w:szCs w:val="18"/>
        </w:rPr>
        <w:t>Study on NR-based</w:t>
      </w:r>
      <w:r>
        <w:rPr>
          <w:sz w:val="18"/>
          <w:szCs w:val="18"/>
        </w:rPr>
        <w:t xml:space="preserve"> Access to Unlicensed Spectrum”</w:t>
      </w:r>
      <w:r w:rsidR="00804356">
        <w:rPr>
          <w:sz w:val="18"/>
          <w:szCs w:val="18"/>
        </w:rPr>
        <w:t>.</w:t>
      </w:r>
      <w:bookmarkEnd w:id="5"/>
    </w:p>
    <w:bookmarkEnd w:id="6"/>
    <w:p w14:paraId="1F331866" w14:textId="5BE3FA6F" w:rsidR="005B0B69" w:rsidRDefault="005B0B69" w:rsidP="005B0B69">
      <w:pPr>
        <w:pStyle w:val="Reference"/>
        <w:spacing w:after="60"/>
        <w:rPr>
          <w:sz w:val="18"/>
          <w:szCs w:val="18"/>
        </w:rPr>
      </w:pPr>
      <w:r w:rsidRPr="00AD03D3">
        <w:rPr>
          <w:sz w:val="18"/>
          <w:szCs w:val="18"/>
        </w:rPr>
        <w:t xml:space="preserve">RAN2 </w:t>
      </w:r>
      <w:r>
        <w:rPr>
          <w:sz w:val="18"/>
          <w:szCs w:val="18"/>
        </w:rPr>
        <w:t>10</w:t>
      </w:r>
      <w:r w:rsidR="00D13269">
        <w:rPr>
          <w:sz w:val="18"/>
          <w:szCs w:val="18"/>
        </w:rPr>
        <w:t>7</w:t>
      </w:r>
      <w:r w:rsidRPr="00AD03D3">
        <w:rPr>
          <w:sz w:val="18"/>
          <w:szCs w:val="18"/>
        </w:rPr>
        <w:t xml:space="preserve"> Chairman Notes – RAN</w:t>
      </w:r>
      <w:r>
        <w:rPr>
          <w:sz w:val="18"/>
          <w:szCs w:val="18"/>
        </w:rPr>
        <w:t>2</w:t>
      </w:r>
      <w:r w:rsidRPr="00AD03D3">
        <w:rPr>
          <w:sz w:val="18"/>
          <w:szCs w:val="18"/>
        </w:rPr>
        <w:t xml:space="preserve"> Chairman.</w:t>
      </w:r>
    </w:p>
    <w:p w14:paraId="1539F6FE" w14:textId="2993FCB0" w:rsidR="003851EE" w:rsidRDefault="003851EE" w:rsidP="005B0B69">
      <w:pPr>
        <w:pStyle w:val="Reference"/>
        <w:spacing w:after="60"/>
        <w:rPr>
          <w:sz w:val="18"/>
          <w:szCs w:val="18"/>
        </w:rPr>
      </w:pPr>
      <w:r>
        <w:rPr>
          <w:sz w:val="18"/>
          <w:szCs w:val="18"/>
        </w:rPr>
        <w:t>R2-1909809, “Impact of non-Numeric K1 value to NR-U DRX”, Qualcomm Inc.</w:t>
      </w:r>
    </w:p>
    <w:p w14:paraId="0FA44C3E" w14:textId="0545AA96" w:rsidR="005B0B69" w:rsidRPr="00AD03D3" w:rsidRDefault="005B0B69" w:rsidP="005B0B69">
      <w:pPr>
        <w:pStyle w:val="Reference"/>
        <w:numPr>
          <w:ilvl w:val="0"/>
          <w:numId w:val="0"/>
        </w:numPr>
        <w:spacing w:after="60"/>
        <w:ind w:left="567"/>
        <w:rPr>
          <w:sz w:val="18"/>
          <w:szCs w:val="18"/>
        </w:rPr>
      </w:pPr>
    </w:p>
    <w:p w14:paraId="6F94A87A" w14:textId="77777777" w:rsidR="00804356" w:rsidRPr="00391E92" w:rsidRDefault="00804356" w:rsidP="00804356">
      <w:pPr>
        <w:pStyle w:val="Reference"/>
        <w:numPr>
          <w:ilvl w:val="0"/>
          <w:numId w:val="0"/>
        </w:numPr>
        <w:spacing w:after="60"/>
        <w:ind w:left="567"/>
      </w:pPr>
    </w:p>
    <w:p w14:paraId="34A95C10" w14:textId="77777777" w:rsidR="00E32B3E" w:rsidRPr="00E62307" w:rsidRDefault="00E32B3E" w:rsidP="00E62307">
      <w:pPr>
        <w:tabs>
          <w:tab w:val="left" w:pos="1365"/>
        </w:tabs>
      </w:pPr>
    </w:p>
    <w:sectPr w:rsidR="00E32B3E" w:rsidRPr="00E62307">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25CE26" w14:textId="77777777" w:rsidR="0061479D" w:rsidRDefault="0061479D">
      <w:pPr>
        <w:spacing w:after="0"/>
      </w:pPr>
      <w:r>
        <w:separator/>
      </w:r>
    </w:p>
  </w:endnote>
  <w:endnote w:type="continuationSeparator" w:id="0">
    <w:p w14:paraId="19B043F6" w14:textId="77777777" w:rsidR="0061479D" w:rsidRDefault="0061479D">
      <w:pPr>
        <w:spacing w:after="0"/>
      </w:pPr>
      <w:r>
        <w:continuationSeparator/>
      </w:r>
    </w:p>
  </w:endnote>
  <w:endnote w:type="continuationNotice" w:id="1">
    <w:p w14:paraId="221C5320" w14:textId="77777777" w:rsidR="0061479D" w:rsidRDefault="006147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10C576" w14:textId="71AF52FF" w:rsidR="00B80B84" w:rsidRDefault="00B80B84" w:rsidP="00B32591">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43BA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43BAC">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E7894A" w14:textId="77777777" w:rsidR="0061479D" w:rsidRDefault="0061479D">
      <w:pPr>
        <w:spacing w:after="0"/>
      </w:pPr>
      <w:r>
        <w:separator/>
      </w:r>
    </w:p>
  </w:footnote>
  <w:footnote w:type="continuationSeparator" w:id="0">
    <w:p w14:paraId="43B5B68E" w14:textId="77777777" w:rsidR="0061479D" w:rsidRDefault="0061479D">
      <w:pPr>
        <w:spacing w:after="0"/>
      </w:pPr>
      <w:r>
        <w:continuationSeparator/>
      </w:r>
    </w:p>
  </w:footnote>
  <w:footnote w:type="continuationNotice" w:id="1">
    <w:p w14:paraId="24F6ED4D" w14:textId="77777777" w:rsidR="0061479D" w:rsidRDefault="0061479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BD2EA9"/>
    <w:multiLevelType w:val="hybridMultilevel"/>
    <w:tmpl w:val="C512CDCC"/>
    <w:lvl w:ilvl="0" w:tplc="FC527BB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1A4685"/>
    <w:multiLevelType w:val="hybridMultilevel"/>
    <w:tmpl w:val="52C0E094"/>
    <w:lvl w:ilvl="0" w:tplc="DAF0A89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FA30A5"/>
    <w:multiLevelType w:val="hybridMultilevel"/>
    <w:tmpl w:val="5B646BA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hybridMultilevel"/>
    <w:tmpl w:val="0CA2002C"/>
    <w:lvl w:ilvl="0" w:tplc="350ECC42">
      <w:start w:val="1"/>
      <w:numFmt w:val="decimal"/>
      <w:pStyle w:val="Proposal"/>
      <w:lvlText w:val="Proposal %1"/>
      <w:lvlJc w:val="left"/>
      <w:pPr>
        <w:tabs>
          <w:tab w:val="num" w:pos="1304"/>
        </w:tabs>
        <w:ind w:left="1304" w:hanging="1304"/>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2426B29"/>
    <w:multiLevelType w:val="hybridMultilevel"/>
    <w:tmpl w:val="53BE2BF8"/>
    <w:lvl w:ilvl="0" w:tplc="1988F23A">
      <w:start w:val="1"/>
      <w:numFmt w:val="decimal"/>
      <w:pStyle w:val="Prop"/>
      <w:lvlText w:val="Proposal %1:"/>
      <w:lvlJc w:val="left"/>
      <w:pPr>
        <w:ind w:left="360" w:hanging="360"/>
      </w:pPr>
      <w:rPr>
        <w:rFonts w:cs="Times New Roman"/>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C64334F"/>
    <w:multiLevelType w:val="hybridMultilevel"/>
    <w:tmpl w:val="9E9444D4"/>
    <w:lvl w:ilvl="0" w:tplc="04090001">
      <w:start w:val="1"/>
      <w:numFmt w:val="bullet"/>
      <w:lvlText w:val=""/>
      <w:lvlJc w:val="left"/>
      <w:pPr>
        <w:ind w:left="720" w:hanging="720"/>
      </w:pPr>
      <w:rPr>
        <w:rFonts w:ascii="Symbol" w:hAnsi="Symbol" w:hint="default"/>
      </w:rPr>
    </w:lvl>
    <w:lvl w:ilvl="1" w:tplc="BF92D41C">
      <w:start w:val="1"/>
      <w:numFmt w:val="lowerLetter"/>
      <w:lvlText w:val="%2."/>
      <w:lvlJc w:val="left"/>
      <w:pPr>
        <w:ind w:left="1440" w:hanging="720"/>
      </w:pPr>
      <w:rPr>
        <w:rFonts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93550F0"/>
    <w:multiLevelType w:val="hybridMultilevel"/>
    <w:tmpl w:val="9146A59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CBD60D2"/>
    <w:multiLevelType w:val="hybridMultilevel"/>
    <w:tmpl w:val="D56E7C04"/>
    <w:lvl w:ilvl="0" w:tplc="9374415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5"/>
  </w:num>
  <w:num w:numId="4">
    <w:abstractNumId w:val="8"/>
  </w:num>
  <w:num w:numId="5">
    <w:abstractNumId w:val="10"/>
  </w:num>
  <w:num w:numId="6">
    <w:abstractNumId w:val="13"/>
  </w:num>
  <w:num w:numId="7">
    <w:abstractNumId w:val="1"/>
  </w:num>
  <w:num w:numId="8">
    <w:abstractNumId w:val="12"/>
  </w:num>
  <w:num w:numId="9">
    <w:abstractNumId w:val="8"/>
  </w:num>
  <w:num w:numId="10">
    <w:abstractNumId w:val="2"/>
  </w:num>
  <w:num w:numId="11">
    <w:abstractNumId w:val="4"/>
  </w:num>
  <w:num w:numId="12">
    <w:abstractNumId w:val="3"/>
  </w:num>
  <w:num w:numId="13">
    <w:abstractNumId w:val="9"/>
  </w:num>
  <w:num w:numId="14">
    <w:abstractNumId w:val="8"/>
    <w:lvlOverride w:ilvl="0">
      <w:startOverride w:val="1"/>
    </w:lvlOverride>
  </w:num>
  <w:num w:numId="15">
    <w:abstractNumId w:val="9"/>
    <w:lvlOverride w:ilvl="0">
      <w:startOverride w:val="1"/>
    </w:lvlOverride>
  </w:num>
  <w:num w:numId="16">
    <w:abstractNumId w:val="11"/>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oofState w:spelling="clean" w:grammar="clean"/>
  <w:defaultTabStop w:val="720"/>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5524"/>
    <w:rsid w:val="00025288"/>
    <w:rsid w:val="00046C65"/>
    <w:rsid w:val="00053DAF"/>
    <w:rsid w:val="000679E2"/>
    <w:rsid w:val="00071508"/>
    <w:rsid w:val="000811F0"/>
    <w:rsid w:val="00082AF7"/>
    <w:rsid w:val="000A14E8"/>
    <w:rsid w:val="000A4784"/>
    <w:rsid w:val="000A7B7F"/>
    <w:rsid w:val="000B771C"/>
    <w:rsid w:val="000C0193"/>
    <w:rsid w:val="000F29AC"/>
    <w:rsid w:val="00101D8B"/>
    <w:rsid w:val="00104A4D"/>
    <w:rsid w:val="001416D8"/>
    <w:rsid w:val="00165F38"/>
    <w:rsid w:val="001C0192"/>
    <w:rsid w:val="001C3106"/>
    <w:rsid w:val="001D6FD5"/>
    <w:rsid w:val="001E283C"/>
    <w:rsid w:val="001F0CB6"/>
    <w:rsid w:val="00212644"/>
    <w:rsid w:val="002260DD"/>
    <w:rsid w:val="0023505F"/>
    <w:rsid w:val="002369A0"/>
    <w:rsid w:val="0025129F"/>
    <w:rsid w:val="002546F5"/>
    <w:rsid w:val="00275924"/>
    <w:rsid w:val="002A25A0"/>
    <w:rsid w:val="002E12CE"/>
    <w:rsid w:val="002E23AA"/>
    <w:rsid w:val="003153FC"/>
    <w:rsid w:val="00324195"/>
    <w:rsid w:val="00332B98"/>
    <w:rsid w:val="003372E3"/>
    <w:rsid w:val="003851EE"/>
    <w:rsid w:val="00390373"/>
    <w:rsid w:val="003B19C2"/>
    <w:rsid w:val="003B6703"/>
    <w:rsid w:val="003C11B0"/>
    <w:rsid w:val="003C2366"/>
    <w:rsid w:val="003D671D"/>
    <w:rsid w:val="003E3A20"/>
    <w:rsid w:val="003F19A3"/>
    <w:rsid w:val="004002BA"/>
    <w:rsid w:val="00420248"/>
    <w:rsid w:val="0043622F"/>
    <w:rsid w:val="00442BFA"/>
    <w:rsid w:val="00462F16"/>
    <w:rsid w:val="00465981"/>
    <w:rsid w:val="00474AC6"/>
    <w:rsid w:val="004803C9"/>
    <w:rsid w:val="004953E5"/>
    <w:rsid w:val="004A0161"/>
    <w:rsid w:val="004C7A83"/>
    <w:rsid w:val="004F6527"/>
    <w:rsid w:val="0050185D"/>
    <w:rsid w:val="00517DF2"/>
    <w:rsid w:val="005216CD"/>
    <w:rsid w:val="005241C3"/>
    <w:rsid w:val="0053301F"/>
    <w:rsid w:val="00543BAC"/>
    <w:rsid w:val="0054611B"/>
    <w:rsid w:val="00550B4E"/>
    <w:rsid w:val="00553D0C"/>
    <w:rsid w:val="00581A44"/>
    <w:rsid w:val="00581A54"/>
    <w:rsid w:val="005B0B69"/>
    <w:rsid w:val="005B559F"/>
    <w:rsid w:val="005C3DA4"/>
    <w:rsid w:val="005C5312"/>
    <w:rsid w:val="00602132"/>
    <w:rsid w:val="0061479D"/>
    <w:rsid w:val="00617BCF"/>
    <w:rsid w:val="0062426B"/>
    <w:rsid w:val="00636046"/>
    <w:rsid w:val="00657B0B"/>
    <w:rsid w:val="00675C29"/>
    <w:rsid w:val="006A11E0"/>
    <w:rsid w:val="006A3E53"/>
    <w:rsid w:val="006B27BE"/>
    <w:rsid w:val="006B28C1"/>
    <w:rsid w:val="006B5124"/>
    <w:rsid w:val="006C3602"/>
    <w:rsid w:val="006D03A8"/>
    <w:rsid w:val="006E04AF"/>
    <w:rsid w:val="006F0830"/>
    <w:rsid w:val="00721370"/>
    <w:rsid w:val="00722307"/>
    <w:rsid w:val="00733926"/>
    <w:rsid w:val="0074404A"/>
    <w:rsid w:val="0076336C"/>
    <w:rsid w:val="00781AEB"/>
    <w:rsid w:val="007B7E56"/>
    <w:rsid w:val="007D1E3A"/>
    <w:rsid w:val="00801F3F"/>
    <w:rsid w:val="00804356"/>
    <w:rsid w:val="0085608D"/>
    <w:rsid w:val="00873E1A"/>
    <w:rsid w:val="008741B6"/>
    <w:rsid w:val="00885918"/>
    <w:rsid w:val="00891EBF"/>
    <w:rsid w:val="008B2CC3"/>
    <w:rsid w:val="008B4338"/>
    <w:rsid w:val="008B4C36"/>
    <w:rsid w:val="008D5703"/>
    <w:rsid w:val="008D6582"/>
    <w:rsid w:val="008F11E6"/>
    <w:rsid w:val="00915FA3"/>
    <w:rsid w:val="00952894"/>
    <w:rsid w:val="00952D0A"/>
    <w:rsid w:val="00956323"/>
    <w:rsid w:val="00966A5C"/>
    <w:rsid w:val="009835D4"/>
    <w:rsid w:val="00992574"/>
    <w:rsid w:val="00995E0C"/>
    <w:rsid w:val="009976D2"/>
    <w:rsid w:val="009A7AC0"/>
    <w:rsid w:val="009C2B67"/>
    <w:rsid w:val="009E520A"/>
    <w:rsid w:val="00A25FE5"/>
    <w:rsid w:val="00A445F1"/>
    <w:rsid w:val="00A47C43"/>
    <w:rsid w:val="00A5699F"/>
    <w:rsid w:val="00A63245"/>
    <w:rsid w:val="00A97162"/>
    <w:rsid w:val="00AA612F"/>
    <w:rsid w:val="00AC7A21"/>
    <w:rsid w:val="00AD0A51"/>
    <w:rsid w:val="00AD408A"/>
    <w:rsid w:val="00AE56C4"/>
    <w:rsid w:val="00AF1C43"/>
    <w:rsid w:val="00B03670"/>
    <w:rsid w:val="00B21AE5"/>
    <w:rsid w:val="00B32591"/>
    <w:rsid w:val="00B7721E"/>
    <w:rsid w:val="00B80B84"/>
    <w:rsid w:val="00B85D41"/>
    <w:rsid w:val="00BB0B88"/>
    <w:rsid w:val="00BC5B20"/>
    <w:rsid w:val="00BC6675"/>
    <w:rsid w:val="00BE2460"/>
    <w:rsid w:val="00C270E0"/>
    <w:rsid w:val="00C41977"/>
    <w:rsid w:val="00C6375F"/>
    <w:rsid w:val="00C72E28"/>
    <w:rsid w:val="00C74BBF"/>
    <w:rsid w:val="00C765D8"/>
    <w:rsid w:val="00CB6EC5"/>
    <w:rsid w:val="00CE66EB"/>
    <w:rsid w:val="00CE7537"/>
    <w:rsid w:val="00D02F73"/>
    <w:rsid w:val="00D13269"/>
    <w:rsid w:val="00D2753A"/>
    <w:rsid w:val="00D41C5B"/>
    <w:rsid w:val="00D84BF1"/>
    <w:rsid w:val="00DA6989"/>
    <w:rsid w:val="00DC2FF7"/>
    <w:rsid w:val="00DC3845"/>
    <w:rsid w:val="00DE089F"/>
    <w:rsid w:val="00DE5524"/>
    <w:rsid w:val="00DF5DF3"/>
    <w:rsid w:val="00E260A6"/>
    <w:rsid w:val="00E32B3E"/>
    <w:rsid w:val="00E42C34"/>
    <w:rsid w:val="00E62307"/>
    <w:rsid w:val="00E71F23"/>
    <w:rsid w:val="00E72D40"/>
    <w:rsid w:val="00E76754"/>
    <w:rsid w:val="00E85BDC"/>
    <w:rsid w:val="00E85F78"/>
    <w:rsid w:val="00EB41DD"/>
    <w:rsid w:val="00EB7672"/>
    <w:rsid w:val="00EC0A72"/>
    <w:rsid w:val="00EE3C87"/>
    <w:rsid w:val="00EF5B68"/>
    <w:rsid w:val="00F112CC"/>
    <w:rsid w:val="00F427EE"/>
    <w:rsid w:val="00F46081"/>
    <w:rsid w:val="00F51DA6"/>
    <w:rsid w:val="00F82FC1"/>
    <w:rsid w:val="00FB2158"/>
    <w:rsid w:val="00FC02C0"/>
    <w:rsid w:val="00FF16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66B53A"/>
  <w15:chartTrackingRefBased/>
  <w15:docId w15:val="{3385405D-A360-4847-B069-E7EE1B5D7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E552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DE552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DE552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DE552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DE5524"/>
    <w:pPr>
      <w:numPr>
        <w:ilvl w:val="3"/>
      </w:numPr>
      <w:outlineLvl w:val="3"/>
    </w:pPr>
    <w:rPr>
      <w:sz w:val="24"/>
      <w:szCs w:val="24"/>
    </w:rPr>
  </w:style>
  <w:style w:type="paragraph" w:styleId="Heading5">
    <w:name w:val="heading 5"/>
    <w:basedOn w:val="Heading4"/>
    <w:next w:val="Normal"/>
    <w:link w:val="Heading5Char"/>
    <w:qFormat/>
    <w:rsid w:val="00DE5524"/>
    <w:pPr>
      <w:numPr>
        <w:ilvl w:val="4"/>
      </w:numPr>
      <w:outlineLvl w:val="4"/>
    </w:pPr>
    <w:rPr>
      <w:sz w:val="22"/>
      <w:szCs w:val="22"/>
    </w:rPr>
  </w:style>
  <w:style w:type="paragraph" w:styleId="Heading6">
    <w:name w:val="heading 6"/>
    <w:basedOn w:val="Normal"/>
    <w:next w:val="Normal"/>
    <w:link w:val="Heading6Char"/>
    <w:qFormat/>
    <w:rsid w:val="00DE552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DE552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DE5524"/>
    <w:pPr>
      <w:numPr>
        <w:ilvl w:val="7"/>
      </w:numPr>
      <w:outlineLvl w:val="7"/>
    </w:pPr>
  </w:style>
  <w:style w:type="paragraph" w:styleId="Heading9">
    <w:name w:val="heading 9"/>
    <w:basedOn w:val="Heading8"/>
    <w:next w:val="Normal"/>
    <w:link w:val="Heading9Char"/>
    <w:qFormat/>
    <w:rsid w:val="00DE552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DE5524"/>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DE552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DE552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E5524"/>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DE5524"/>
    <w:rPr>
      <w:rFonts w:ascii="Arial" w:eastAsia="Times New Roman" w:hAnsi="Arial" w:cs="Arial"/>
      <w:lang w:val="en-GB" w:eastAsia="zh-CN"/>
    </w:rPr>
  </w:style>
  <w:style w:type="character" w:customStyle="1" w:styleId="Heading6Char">
    <w:name w:val="Heading 6 Char"/>
    <w:basedOn w:val="DefaultParagraphFont"/>
    <w:link w:val="Heading6"/>
    <w:rsid w:val="00DE552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DE552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DE552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DE5524"/>
    <w:rPr>
      <w:rFonts w:ascii="Arial" w:eastAsia="Times New Roman" w:hAnsi="Arial" w:cs="Arial"/>
      <w:sz w:val="20"/>
      <w:szCs w:val="20"/>
      <w:lang w:val="en-GB" w:eastAsia="zh-CN"/>
    </w:rPr>
  </w:style>
  <w:style w:type="paragraph" w:customStyle="1" w:styleId="3GPPHeader">
    <w:name w:val="3GPP_Header"/>
    <w:basedOn w:val="Normal"/>
    <w:rsid w:val="00DE5524"/>
    <w:pPr>
      <w:tabs>
        <w:tab w:val="left" w:pos="1701"/>
        <w:tab w:val="right" w:pos="9639"/>
      </w:tabs>
      <w:spacing w:after="240"/>
    </w:pPr>
    <w:rPr>
      <w:b/>
      <w:sz w:val="24"/>
    </w:rPr>
  </w:style>
  <w:style w:type="paragraph" w:styleId="Footer">
    <w:name w:val="footer"/>
    <w:basedOn w:val="Header"/>
    <w:link w:val="FooterChar"/>
    <w:semiHidden/>
    <w:rsid w:val="00DE5524"/>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DE5524"/>
    <w:rPr>
      <w:rFonts w:ascii="Arial" w:eastAsia="Times New Roman" w:hAnsi="Arial" w:cs="Arial"/>
      <w:b/>
      <w:bCs/>
      <w:i/>
      <w:iCs/>
      <w:noProof/>
      <w:sz w:val="18"/>
      <w:szCs w:val="18"/>
      <w:lang w:eastAsia="zh-CN"/>
    </w:rPr>
  </w:style>
  <w:style w:type="paragraph" w:customStyle="1" w:styleId="Reference">
    <w:name w:val="Reference"/>
    <w:basedOn w:val="Normal"/>
    <w:rsid w:val="00DE5524"/>
    <w:pPr>
      <w:numPr>
        <w:numId w:val="2"/>
      </w:numPr>
    </w:pPr>
  </w:style>
  <w:style w:type="character" w:styleId="PageNumber">
    <w:name w:val="page number"/>
    <w:semiHidden/>
    <w:rsid w:val="00DE5524"/>
  </w:style>
  <w:style w:type="paragraph" w:customStyle="1" w:styleId="Proposal">
    <w:name w:val="Proposal"/>
    <w:basedOn w:val="Normal"/>
    <w:rsid w:val="00DE5524"/>
    <w:pPr>
      <w:numPr>
        <w:numId w:val="3"/>
      </w:numPr>
      <w:tabs>
        <w:tab w:val="left" w:pos="1701"/>
      </w:tabs>
    </w:pPr>
    <w:rPr>
      <w:b/>
      <w:bCs/>
    </w:rPr>
  </w:style>
  <w:style w:type="paragraph" w:customStyle="1" w:styleId="Observation">
    <w:name w:val="Observation"/>
    <w:basedOn w:val="Proposal"/>
    <w:qFormat/>
    <w:rsid w:val="00DE5524"/>
    <w:pPr>
      <w:numPr>
        <w:numId w:val="4"/>
      </w:numPr>
    </w:pPr>
  </w:style>
  <w:style w:type="paragraph" w:styleId="ListParagraph">
    <w:name w:val="List Paragraph"/>
    <w:aliases w:val="- Bullets"/>
    <w:basedOn w:val="Normal"/>
    <w:link w:val="ListParagraphChar"/>
    <w:uiPriority w:val="34"/>
    <w:qFormat/>
    <w:rsid w:val="00DE5524"/>
    <w:pPr>
      <w:ind w:left="720"/>
    </w:pPr>
  </w:style>
  <w:style w:type="character" w:customStyle="1" w:styleId="ListParagraphChar">
    <w:name w:val="List Paragraph Char"/>
    <w:aliases w:val="- Bullets Char"/>
    <w:link w:val="ListParagraph"/>
    <w:uiPriority w:val="34"/>
    <w:qFormat/>
    <w:locked/>
    <w:rsid w:val="00DE5524"/>
    <w:rPr>
      <w:rFonts w:ascii="Arial" w:eastAsia="Times New Roman" w:hAnsi="Arial" w:cs="Times New Roman"/>
      <w:sz w:val="20"/>
      <w:szCs w:val="20"/>
      <w:lang w:val="en-GB" w:eastAsia="zh-CN"/>
    </w:rPr>
  </w:style>
  <w:style w:type="paragraph" w:styleId="Header">
    <w:name w:val="header"/>
    <w:basedOn w:val="Normal"/>
    <w:link w:val="HeaderChar"/>
    <w:uiPriority w:val="99"/>
    <w:semiHidden/>
    <w:unhideWhenUsed/>
    <w:rsid w:val="00DE5524"/>
    <w:pPr>
      <w:tabs>
        <w:tab w:val="center" w:pos="4680"/>
        <w:tab w:val="right" w:pos="9360"/>
      </w:tabs>
      <w:spacing w:after="0"/>
    </w:pPr>
  </w:style>
  <w:style w:type="character" w:customStyle="1" w:styleId="HeaderChar">
    <w:name w:val="Header Char"/>
    <w:basedOn w:val="DefaultParagraphFont"/>
    <w:link w:val="Header"/>
    <w:uiPriority w:val="99"/>
    <w:semiHidden/>
    <w:rsid w:val="00DE5524"/>
    <w:rPr>
      <w:rFonts w:ascii="Arial" w:eastAsia="Times New Roman" w:hAnsi="Arial" w:cs="Times New Roman"/>
      <w:sz w:val="20"/>
      <w:szCs w:val="20"/>
      <w:lang w:val="en-GB" w:eastAsia="zh-CN"/>
    </w:rPr>
  </w:style>
  <w:style w:type="paragraph" w:customStyle="1" w:styleId="Agreement">
    <w:name w:val="Agreement"/>
    <w:basedOn w:val="Normal"/>
    <w:next w:val="Normal"/>
    <w:rsid w:val="00DE5524"/>
    <w:pPr>
      <w:numPr>
        <w:numId w:val="6"/>
      </w:numPr>
      <w:overflowPunct/>
      <w:autoSpaceDE/>
      <w:autoSpaceDN/>
      <w:adjustRightInd/>
      <w:spacing w:before="60" w:after="0"/>
      <w:jc w:val="left"/>
      <w:textAlignment w:val="auto"/>
    </w:pPr>
    <w:rPr>
      <w:rFonts w:eastAsia="MS Mincho"/>
      <w:b/>
      <w:szCs w:val="24"/>
      <w:lang w:eastAsia="en-GB"/>
    </w:rPr>
  </w:style>
  <w:style w:type="paragraph" w:styleId="BalloonText">
    <w:name w:val="Balloon Text"/>
    <w:basedOn w:val="Normal"/>
    <w:link w:val="BalloonTextChar"/>
    <w:uiPriority w:val="99"/>
    <w:semiHidden/>
    <w:unhideWhenUsed/>
    <w:rsid w:val="00165F3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65F38"/>
    <w:rPr>
      <w:rFonts w:ascii="Segoe UI" w:eastAsia="Times New Roman" w:hAnsi="Segoe UI" w:cs="Segoe UI"/>
      <w:sz w:val="18"/>
      <w:szCs w:val="18"/>
      <w:lang w:val="en-GB" w:eastAsia="zh-CN"/>
    </w:rPr>
  </w:style>
  <w:style w:type="paragraph" w:styleId="BodyText">
    <w:name w:val="Body Text"/>
    <w:basedOn w:val="Normal"/>
    <w:link w:val="BodyTextChar"/>
    <w:rsid w:val="003372E3"/>
    <w:rPr>
      <w:rFonts w:eastAsiaTheme="minorEastAsia"/>
    </w:rPr>
  </w:style>
  <w:style w:type="character" w:customStyle="1" w:styleId="BodyTextChar">
    <w:name w:val="Body Text Char"/>
    <w:basedOn w:val="DefaultParagraphFont"/>
    <w:link w:val="BodyText"/>
    <w:rsid w:val="003372E3"/>
    <w:rPr>
      <w:rFonts w:ascii="Arial" w:eastAsiaTheme="minorEastAsia" w:hAnsi="Arial" w:cs="Times New Roman"/>
      <w:sz w:val="20"/>
      <w:szCs w:val="20"/>
      <w:lang w:val="en-GB" w:eastAsia="zh-CN"/>
    </w:rPr>
  </w:style>
  <w:style w:type="character" w:styleId="CommentReference">
    <w:name w:val="annotation reference"/>
    <w:basedOn w:val="DefaultParagraphFont"/>
    <w:uiPriority w:val="99"/>
    <w:semiHidden/>
    <w:unhideWhenUsed/>
    <w:rsid w:val="00474AC6"/>
    <w:rPr>
      <w:sz w:val="16"/>
      <w:szCs w:val="16"/>
    </w:rPr>
  </w:style>
  <w:style w:type="paragraph" w:styleId="CommentText">
    <w:name w:val="annotation text"/>
    <w:basedOn w:val="Normal"/>
    <w:link w:val="CommentTextChar"/>
    <w:uiPriority w:val="99"/>
    <w:semiHidden/>
    <w:unhideWhenUsed/>
    <w:rsid w:val="00474AC6"/>
  </w:style>
  <w:style w:type="character" w:customStyle="1" w:styleId="CommentTextChar">
    <w:name w:val="Comment Text Char"/>
    <w:basedOn w:val="DefaultParagraphFont"/>
    <w:link w:val="CommentText"/>
    <w:uiPriority w:val="99"/>
    <w:semiHidden/>
    <w:rsid w:val="00474AC6"/>
    <w:rPr>
      <w:rFonts w:ascii="Arial" w:eastAsia="Times New Roman" w:hAnsi="Arial" w:cs="Times New Roman"/>
      <w:sz w:val="20"/>
      <w:szCs w:val="20"/>
      <w:lang w:val="en-GB" w:eastAsia="zh-CN"/>
    </w:rPr>
  </w:style>
  <w:style w:type="paragraph" w:customStyle="1" w:styleId="Prop">
    <w:name w:val="Prop"/>
    <w:basedOn w:val="Normal"/>
    <w:qFormat/>
    <w:rsid w:val="00804356"/>
    <w:pPr>
      <w:numPr>
        <w:numId w:val="13"/>
      </w:numPr>
      <w:tabs>
        <w:tab w:val="left" w:pos="1170"/>
      </w:tabs>
      <w:ind w:left="1170" w:hanging="1170"/>
    </w:pPr>
    <w:rPr>
      <w:rFonts w:ascii="Times New Roman" w:eastAsia="SimSun" w:hAnsi="Times New Roman"/>
      <w:b/>
      <w:lang w:val="en-US"/>
    </w:rPr>
  </w:style>
  <w:style w:type="paragraph" w:styleId="CommentSubject">
    <w:name w:val="annotation subject"/>
    <w:basedOn w:val="CommentText"/>
    <w:next w:val="CommentText"/>
    <w:link w:val="CommentSubjectChar"/>
    <w:uiPriority w:val="99"/>
    <w:semiHidden/>
    <w:unhideWhenUsed/>
    <w:rsid w:val="00390373"/>
    <w:rPr>
      <w:b/>
      <w:bCs/>
    </w:rPr>
  </w:style>
  <w:style w:type="character" w:customStyle="1" w:styleId="CommentSubjectChar">
    <w:name w:val="Comment Subject Char"/>
    <w:basedOn w:val="CommentTextChar"/>
    <w:link w:val="CommentSubject"/>
    <w:uiPriority w:val="99"/>
    <w:semiHidden/>
    <w:rsid w:val="00390373"/>
    <w:rPr>
      <w:rFonts w:ascii="Arial" w:eastAsia="Times New Roman" w:hAnsi="Arial" w:cs="Times New Roman"/>
      <w:b/>
      <w:bCs/>
      <w:sz w:val="20"/>
      <w:szCs w:val="20"/>
      <w:lang w:val="en-GB" w:eastAsia="zh-CN"/>
    </w:rPr>
  </w:style>
  <w:style w:type="paragraph" w:customStyle="1" w:styleId="B1">
    <w:name w:val="B1"/>
    <w:basedOn w:val="Normal"/>
    <w:link w:val="B1Char"/>
    <w:qFormat/>
    <w:rsid w:val="00D41C5B"/>
    <w:pPr>
      <w:overflowPunct/>
      <w:autoSpaceDE/>
      <w:autoSpaceDN/>
      <w:adjustRightInd/>
      <w:spacing w:after="180"/>
      <w:ind w:left="568" w:hanging="284"/>
      <w:jc w:val="left"/>
      <w:textAlignment w:val="auto"/>
    </w:pPr>
    <w:rPr>
      <w:rFonts w:ascii="Times New Roman" w:eastAsia="Malgun Gothic" w:hAnsi="Times New Roman"/>
      <w:lang w:eastAsia="en-US"/>
    </w:rPr>
  </w:style>
  <w:style w:type="character" w:customStyle="1" w:styleId="B1Char">
    <w:name w:val="B1 Char"/>
    <w:link w:val="B1"/>
    <w:rsid w:val="00D41C5B"/>
    <w:rPr>
      <w:rFonts w:ascii="Times New Roman" w:eastAsia="Malgun Gothic"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0838040">
      <w:bodyDiv w:val="1"/>
      <w:marLeft w:val="0"/>
      <w:marRight w:val="0"/>
      <w:marTop w:val="0"/>
      <w:marBottom w:val="0"/>
      <w:divBdr>
        <w:top w:val="none" w:sz="0" w:space="0" w:color="auto"/>
        <w:left w:val="none" w:sz="0" w:space="0" w:color="auto"/>
        <w:bottom w:val="none" w:sz="0" w:space="0" w:color="auto"/>
        <w:right w:val="none" w:sz="0" w:space="0" w:color="auto"/>
      </w:divBdr>
    </w:div>
    <w:div w:id="1189635499">
      <w:bodyDiv w:val="1"/>
      <w:marLeft w:val="0"/>
      <w:marRight w:val="0"/>
      <w:marTop w:val="0"/>
      <w:marBottom w:val="0"/>
      <w:divBdr>
        <w:top w:val="none" w:sz="0" w:space="0" w:color="auto"/>
        <w:left w:val="none" w:sz="0" w:space="0" w:color="auto"/>
        <w:bottom w:val="none" w:sz="0" w:space="0" w:color="auto"/>
        <w:right w:val="none" w:sz="0" w:space="0" w:color="auto"/>
      </w:divBdr>
    </w:div>
    <w:div w:id="1249339577">
      <w:bodyDiv w:val="1"/>
      <w:marLeft w:val="0"/>
      <w:marRight w:val="0"/>
      <w:marTop w:val="0"/>
      <w:marBottom w:val="0"/>
      <w:divBdr>
        <w:top w:val="none" w:sz="0" w:space="0" w:color="auto"/>
        <w:left w:val="none" w:sz="0" w:space="0" w:color="auto"/>
        <w:bottom w:val="none" w:sz="0" w:space="0" w:color="auto"/>
        <w:right w:val="none" w:sz="0" w:space="0" w:color="auto"/>
      </w:divBdr>
    </w:div>
    <w:div w:id="1346129230">
      <w:bodyDiv w:val="1"/>
      <w:marLeft w:val="0"/>
      <w:marRight w:val="0"/>
      <w:marTop w:val="0"/>
      <w:marBottom w:val="0"/>
      <w:divBdr>
        <w:top w:val="none" w:sz="0" w:space="0" w:color="auto"/>
        <w:left w:val="none" w:sz="0" w:space="0" w:color="auto"/>
        <w:bottom w:val="none" w:sz="0" w:space="0" w:color="auto"/>
        <w:right w:val="none" w:sz="0" w:space="0" w:color="auto"/>
      </w:divBdr>
    </w:div>
    <w:div w:id="2064787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A8797CE26E28409231FE3380A0593F" ma:contentTypeVersion="1" ma:contentTypeDescription="Create a new document." ma:contentTypeScope="" ma:versionID="8e076fb2b75826d9a6f85d3b81d66e94">
  <xsd:schema xmlns:xsd="http://www.w3.org/2001/XMLSchema" xmlns:xs="http://www.w3.org/2001/XMLSchema" xmlns:p="http://schemas.microsoft.com/office/2006/metadata/properties" xmlns:ns2="http://schemas.microsoft.com/sharepoint/v4" targetNamespace="http://schemas.microsoft.com/office/2006/metadata/properties" ma:root="true" ma:fieldsID="23c11eee0d542004c4a7d729835418c6"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C6AAEE-BDC4-4391-A6E6-56272BE71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77B11D-CBFE-4EA0-BABE-2D76D5CFE854}">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microsoft.com/sharepoint/v4"/>
    <ds:schemaRef ds:uri="http://www.w3.org/XML/1998/namespace"/>
    <ds:schemaRef ds:uri="http://purl.org/dc/dcmitype/"/>
  </ds:schemaRefs>
</ds:datastoreItem>
</file>

<file path=customXml/itemProps3.xml><?xml version="1.0" encoding="utf-8"?>
<ds:datastoreItem xmlns:ds="http://schemas.openxmlformats.org/officeDocument/2006/customXml" ds:itemID="{146AC561-0DC1-4F91-A3EA-C4F08474DE2E}">
  <ds:schemaRefs>
    <ds:schemaRef ds:uri="http://schemas.microsoft.com/sharepoint/v3/contenttype/forms"/>
  </ds:schemaRefs>
</ds:datastoreItem>
</file>

<file path=customXml/itemProps4.xml><?xml version="1.0" encoding="utf-8"?>
<ds:datastoreItem xmlns:ds="http://schemas.openxmlformats.org/officeDocument/2006/customXml" ds:itemID="{29D7FC56-2A81-4C7B-8006-F611C95EC5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Pages>
  <Words>1107</Words>
  <Characters>6310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InterDigital</cp:lastModifiedBy>
  <cp:revision>6</cp:revision>
  <dcterms:created xsi:type="dcterms:W3CDTF">2019-10-03T18:18:00Z</dcterms:created>
  <dcterms:modified xsi:type="dcterms:W3CDTF">2019-10-03T21:58:00Z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0x01010043A8797CE26E28409231FE3380A0593F</vt:lpwstr>
  </property>
  <property fmtid="{D5CDD505-2E9C-101B-9397-08002B2CF9AE}" pid="3" name="Comments0">
    <vt:lpwstr/>
  </property>
</Properties>
</file>